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טבלה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למיפוי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והגדרת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הצוות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הרשותי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המוביל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הטבלה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שלהן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המתאימים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ההובלה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הרשותי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וחלוקת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הטור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הימני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מקדים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התרומה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התפקידים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קידום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התכנית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העירונית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לייצור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סולארי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להוסיף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הטור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השמאלי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סטטוס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התפקידים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הרלוונטים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נחשפו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למיזם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ושבהתאם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לתפקידם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כלשהי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למיזם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tbl>
      <w:tblPr>
        <w:tblStyle w:val="Table1"/>
        <w:bidiVisual w:val="1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6.5"/>
        <w:gridCol w:w="2436.5"/>
        <w:gridCol w:w="2436.5"/>
        <w:gridCol w:w="2436.5"/>
        <w:tblGridChange w:id="0">
          <w:tblGrid>
            <w:gridCol w:w="2436.5"/>
            <w:gridCol w:w="2436.5"/>
            <w:gridCol w:w="2436.5"/>
            <w:gridCol w:w="2436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מיפוי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מקדים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סטטוס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תפקיד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תרומה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לקידום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התחום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נחשפו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למיזם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תפקיד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ואחריות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מנכ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מהנדס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העיר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דוברות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יחידה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אסטרטגית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יחידה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סביבתית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חינוך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רווחה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קהילה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שפ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מנהלת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רובעים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line="360" w:lineRule="auto"/>
        <w:ind w:left="0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לדוגמא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הדוברות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לתרום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לפרסום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המיזם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העירוניות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  <w:u w:val="none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מנהל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אגף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הסביבתי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הטמעת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הספר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  <w:u w:val="none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מנהל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אגף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קהילה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קהילתי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שכונתי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ליווי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ההתקנה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247" w:top="1247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rbJZ1/ARVH1MmvD18Nb1qWK/w==">CgMxLjA4AHIhMXF4T1czTmd6aTctcGFnZUNLaXRrby1iWVdTdzJLUVRF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