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both"/>
        <w:rPr>
          <w:rFonts w:ascii="David" w:cs="David" w:eastAsia="David" w:hAnsi="David"/>
          <w:b w:val="1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טבלת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עזר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לבחינת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השותפים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הפוטנציאליים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ודרגת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השותפות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המתאימה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להם</w:t>
      </w:r>
    </w:p>
    <w:p w:rsidR="00000000" w:rsidDel="00000000" w:rsidP="00000000" w:rsidRDefault="00000000" w:rsidRPr="00000000" w14:paraId="00000002">
      <w:pPr>
        <w:bidi w:val="1"/>
        <w:jc w:val="both"/>
        <w:rPr>
          <w:rFonts w:ascii="David" w:cs="David" w:eastAsia="David" w:hAnsi="Davi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הנחיות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שימוש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חישבו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נציגי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השותפים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הרלוונטיים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ברשות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שלכם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ונסו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לחשוב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דרגות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שותפות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יתאימו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כולן</w:t>
      </w:r>
      <w:r w:rsidDel="00000000" w:rsidR="00000000" w:rsidRPr="00000000">
        <w:rPr>
          <w:rFonts w:ascii="David" w:cs="David" w:eastAsia="David" w:hAnsi="David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ואילו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קונקרטיות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יוכלו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רלוונטיות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כמובן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שאחרי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המיפוי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הפנימי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הראשוני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לבחון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ולהחליט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השותפים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383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2055"/>
        <w:gridCol w:w="1950"/>
        <w:gridCol w:w="2415"/>
        <w:gridCol w:w="3030"/>
        <w:gridCol w:w="2505"/>
        <w:tblGridChange w:id="0">
          <w:tblGrid>
            <w:gridCol w:w="1875"/>
            <w:gridCol w:w="2055"/>
            <w:gridCol w:w="1950"/>
            <w:gridCol w:w="2415"/>
            <w:gridCol w:w="3030"/>
            <w:gridCol w:w="25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  <w:b w:val="1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סוג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ודרגת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השותפות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/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שותפים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פוטנציאליים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bidi w:val="1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תושבים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יחידים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וקבוצות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מקרב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התושבים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אשר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הנושא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יכול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להיות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רלוונטי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עבורם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bidi w:val="1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חברה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אזרחית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עמותות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קרנות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חברות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לתועלת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הציבור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פעילים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חברתיים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וסביבתיים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bidi w:val="1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מוסדות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חינוך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וחברה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(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מתנ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בתי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ספר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תנועות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נוער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bidi w:val="1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המגזר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העסקי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חברות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בעלי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עסקים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שיכולים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להיות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רלוונטים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bidi w:val="1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מומחים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(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גורמים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מהאקדמיה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מכוני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מחקר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מומחים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bidi w:val="1"/>
              <w:jc w:val="both"/>
              <w:rPr>
                <w:rFonts w:ascii="David" w:cs="David" w:eastAsia="David" w:hAnsi="David"/>
                <w:b w:val="1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שיתוף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במידע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ונתונים</w:t>
            </w:r>
          </w:p>
          <w:p w:rsidR="00000000" w:rsidDel="00000000" w:rsidP="00000000" w:rsidRDefault="00000000" w:rsidRPr="00000000" w14:paraId="0000000D">
            <w:pPr>
              <w:widowControl w:val="0"/>
              <w:bidi w:val="1"/>
              <w:rPr>
                <w:rFonts w:ascii="David" w:cs="David" w:eastAsia="David" w:hAnsi="Davi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bidi w:val="1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דוגמא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הסברה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ופרסום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המיזם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המתוכנן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bidi w:val="1"/>
              <w:ind w:left="0" w:firstLine="0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ind w:left="0" w:firstLine="0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bidi w:val="1"/>
              <w:ind w:left="0" w:firstLine="0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jc w:val="both"/>
              <w:rPr>
                <w:rFonts w:ascii="David" w:cs="David" w:eastAsia="David" w:hAnsi="David"/>
                <w:b w:val="1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קבלת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מידע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או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משוב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מהשותפים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דוגמא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שליחת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שאלוני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מיפוי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/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משוב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התכנית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כנס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חד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פעמי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לשיתוף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ציבור</w:t>
            </w:r>
          </w:p>
          <w:p w:rsidR="00000000" w:rsidDel="00000000" w:rsidP="00000000" w:rsidRDefault="00000000" w:rsidRPr="00000000" w14:paraId="00000015">
            <w:pPr>
              <w:bidi w:val="1"/>
              <w:ind w:left="0" w:firstLine="0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bidi w:val="1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bidi w:val="1"/>
              <w:ind w:left="0" w:firstLine="0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ind w:left="0" w:firstLine="0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jc w:val="both"/>
              <w:rPr>
                <w:rFonts w:ascii="David" w:cs="David" w:eastAsia="David" w:hAnsi="David"/>
                <w:b w:val="1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השותפים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מבצעים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פי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הנחיות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הרשות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ind w:left="0" w:firstLine="0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ind w:left="0" w:firstLine="0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bidi w:val="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דוגמא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הנחייה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ממנהל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אגף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חינוך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לכלל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מנהלי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בתי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הספר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לשלוח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מייל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עדכון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המהלך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העירוני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להורים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ind w:left="0" w:firstLine="0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bidi w:val="1"/>
              <w:jc w:val="both"/>
              <w:rPr>
                <w:rFonts w:ascii="David" w:cs="David" w:eastAsia="David" w:hAnsi="David"/>
                <w:b w:val="1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התייעצות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עם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השותפים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bidi w:val="1"/>
              <w:ind w:left="0" w:firstLine="0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bidi w:val="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דוגמא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פגישות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אישיות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נציגי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הארגונים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לחשיבה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המהלך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והתכנית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bidi w:val="1"/>
              <w:ind w:left="0" w:firstLine="0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bidi w:val="1"/>
              <w:ind w:left="0" w:firstLine="0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bidi w:val="1"/>
              <w:jc w:val="both"/>
              <w:rPr>
                <w:rFonts w:ascii="David" w:cs="David" w:eastAsia="David" w:hAnsi="David"/>
                <w:b w:val="1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יצירת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שיתוף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פעולה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מוגדר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וברור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והשתתפות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פעילה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בביצוע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לפי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בחירה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bidi w:val="1"/>
              <w:ind w:left="0" w:firstLine="0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bidi w:val="1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bidi w:val="1"/>
              <w:ind w:left="0" w:firstLine="0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bidi w:val="1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דוגמא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בעלי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העסקים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לוקחים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חלק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פעיל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בפרסום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הצבת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שלטי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הסבר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קבועים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המיזם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בעסקים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שלהם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bidi w:val="1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דוגמא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השתתפות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קבועה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בפגישות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ועדת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ההיגוי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247.2440944881891" w:top="1247.2440944881891" w:left="1247.2440944881891" w:right="1247.244094488189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avi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yhmhZDsN4z9Lf8qjDLN/Bu4FUA==">CgMxLjA4AHIhMXFFMXFicXltNWtLOU9RMXc3UVFRMUxnTXBuQ3VHRFpN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